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89AD1" w14:textId="77777777" w:rsidR="00E24C90" w:rsidRPr="00C84757" w:rsidRDefault="00E24C90" w:rsidP="00E24C90">
      <w:pPr>
        <w:spacing w:after="0" w:line="240" w:lineRule="auto"/>
        <w:rPr>
          <w:rFonts w:ascii="Arial" w:eastAsia="Times New Roman" w:hAnsi="Arial" w:cs="Arial"/>
          <w:kern w:val="0"/>
          <w14:ligatures w14:val="none"/>
        </w:rPr>
      </w:pPr>
      <w:r>
        <w:rPr>
          <w:rFonts w:ascii="Arial" w:eastAsia="Times New Roman" w:hAnsi="Arial" w:cs="Arial"/>
          <w:noProof/>
          <w:kern w:val="0"/>
        </w:rPr>
        <w:drawing>
          <wp:inline distT="0" distB="0" distL="0" distR="0" wp14:anchorId="179B2ED3" wp14:editId="37601923">
            <wp:extent cx="5943600" cy="1054100"/>
            <wp:effectExtent l="0" t="0" r="0" b="0"/>
            <wp:docPr id="41484034" name="Picture 7"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84034" name="Picture 7" descr="A white background with black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054100"/>
                    </a:xfrm>
                    <a:prstGeom prst="rect">
                      <a:avLst/>
                    </a:prstGeom>
                  </pic:spPr>
                </pic:pic>
              </a:graphicData>
            </a:graphic>
          </wp:inline>
        </w:drawing>
      </w:r>
    </w:p>
    <w:p w14:paraId="7587F993" w14:textId="77777777" w:rsidR="00E24C90" w:rsidRPr="00C84757" w:rsidRDefault="00E24C90" w:rsidP="00E24C90">
      <w:pPr>
        <w:spacing w:after="0" w:line="240" w:lineRule="auto"/>
        <w:rPr>
          <w:rFonts w:ascii="Arial" w:eastAsia="Times New Roman" w:hAnsi="Arial" w:cs="Arial"/>
          <w:kern w:val="0"/>
          <w14:ligatures w14:val="none"/>
        </w:rPr>
      </w:pPr>
    </w:p>
    <w:p w14:paraId="1F36CC8D" w14:textId="36232B62" w:rsidR="00E24C90" w:rsidRPr="00E24C90" w:rsidRDefault="00E24C90" w:rsidP="00E24C90">
      <w:pPr>
        <w:spacing w:after="0" w:line="240" w:lineRule="auto"/>
        <w:rPr>
          <w:rFonts w:ascii="Arial" w:eastAsia="Times New Roman" w:hAnsi="Arial" w:cs="Arial"/>
          <w:kern w:val="0"/>
          <w14:ligatures w14:val="none"/>
        </w:rPr>
      </w:pPr>
      <w:r w:rsidRPr="00C84757">
        <w:rPr>
          <w:rFonts w:ascii="Arial" w:eastAsia="Times New Roman" w:hAnsi="Arial" w:cs="Arial"/>
          <w:b/>
          <w:bCs/>
          <w:kern w:val="0"/>
          <w:sz w:val="27"/>
          <w:szCs w:val="27"/>
          <w14:ligatures w14:val="none"/>
        </w:rPr>
        <w:t>MCCGJA News Bulletin</w:t>
      </w:r>
      <w:r w:rsidRPr="00C84757">
        <w:rPr>
          <w:rFonts w:ascii="Arial" w:eastAsia="Times New Roman" w:hAnsi="Arial" w:cs="Arial"/>
          <w:kern w:val="0"/>
          <w14:ligatures w14:val="none"/>
        </w:rPr>
        <w:br/>
      </w:r>
      <w:r w:rsidRPr="00E24C90">
        <w:rPr>
          <w:rFonts w:ascii="Arial" w:eastAsia="Times New Roman" w:hAnsi="Arial" w:cs="Arial"/>
          <w:color w:val="222222"/>
          <w:kern w:val="0"/>
          <w14:ligatures w14:val="none"/>
        </w:rPr>
        <w:t xml:space="preserve">July 15, 2025 – </w:t>
      </w:r>
      <w:r w:rsidRPr="00C84757">
        <w:rPr>
          <w:rFonts w:ascii="Arial" w:eastAsia="Times New Roman" w:hAnsi="Arial" w:cs="Arial"/>
          <w:kern w:val="0"/>
          <w14:ligatures w14:val="none"/>
        </w:rPr>
        <w:t>Vol. 8</w:t>
      </w:r>
      <w:r>
        <w:rPr>
          <w:rFonts w:ascii="Arial" w:eastAsia="Times New Roman" w:hAnsi="Arial" w:cs="Arial"/>
          <w:kern w:val="0"/>
          <w14:ligatures w14:val="none"/>
        </w:rPr>
        <w:t>a</w:t>
      </w:r>
      <w:r>
        <w:rPr>
          <w:rFonts w:ascii="Arial" w:eastAsia="Times New Roman" w:hAnsi="Arial" w:cs="Arial"/>
          <w:kern w:val="0"/>
          <w14:ligatures w14:val="none"/>
        </w:rPr>
        <w:br/>
      </w:r>
    </w:p>
    <w:p w14:paraId="145207A1"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29FB6D21"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b/>
          <w:bCs/>
          <w:color w:val="222222"/>
          <w:kern w:val="0"/>
          <w14:ligatures w14:val="none"/>
        </w:rPr>
        <w:t>Chapter Honors 2024-25 Jury; Welcomes 2025-26 Jury</w:t>
      </w:r>
    </w:p>
    <w:p w14:paraId="2D9642F6"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533344BF" w14:textId="04846620"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Pr>
          <w:rFonts w:ascii="Arial" w:eastAsia="Times New Roman" w:hAnsi="Arial" w:cs="Arial"/>
          <w:noProof/>
          <w:color w:val="222222"/>
          <w:kern w:val="0"/>
        </w:rPr>
        <w:drawing>
          <wp:inline distT="0" distB="0" distL="0" distR="0" wp14:anchorId="664E8934" wp14:editId="7A4648D6">
            <wp:extent cx="3307404" cy="2465519"/>
            <wp:effectExtent l="0" t="0" r="0" b="0"/>
            <wp:docPr id="12298526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852631" name="Picture 1229852631"/>
                    <pic:cNvPicPr/>
                  </pic:nvPicPr>
                  <pic:blipFill>
                    <a:blip r:embed="rId5">
                      <a:extLst>
                        <a:ext uri="{28A0092B-C50C-407E-A947-70E740481C1C}">
                          <a14:useLocalDpi xmlns:a14="http://schemas.microsoft.com/office/drawing/2010/main" val="0"/>
                        </a:ext>
                      </a:extLst>
                    </a:blip>
                    <a:stretch>
                      <a:fillRect/>
                    </a:stretch>
                  </pic:blipFill>
                  <pic:spPr>
                    <a:xfrm>
                      <a:off x="0" y="0"/>
                      <a:ext cx="3347458" cy="2495377"/>
                    </a:xfrm>
                    <a:prstGeom prst="rect">
                      <a:avLst/>
                    </a:prstGeom>
                  </pic:spPr>
                </pic:pic>
              </a:graphicData>
            </a:graphic>
          </wp:inline>
        </w:drawing>
      </w:r>
      <w:r>
        <w:rPr>
          <w:rFonts w:ascii="Arial" w:eastAsia="Times New Roman" w:hAnsi="Arial" w:cs="Arial"/>
          <w:color w:val="222222"/>
          <w:kern w:val="0"/>
          <w14:ligatures w14:val="none"/>
        </w:rPr>
        <w:br/>
      </w:r>
      <w:r>
        <w:rPr>
          <w:rFonts w:ascii="Arial" w:eastAsia="Times New Roman" w:hAnsi="Arial" w:cs="Arial"/>
          <w:color w:val="222222"/>
          <w:kern w:val="0"/>
          <w14:ligatures w14:val="none"/>
        </w:rPr>
        <w:br/>
      </w:r>
      <w:r w:rsidRPr="00E24C90">
        <w:rPr>
          <w:rFonts w:ascii="Arial" w:eastAsia="Times New Roman" w:hAnsi="Arial" w:cs="Arial"/>
          <w:color w:val="222222"/>
          <w:kern w:val="0"/>
          <w14:ligatures w14:val="none"/>
        </w:rPr>
        <w:t xml:space="preserve">Supporters of the Marin Civil Grand Jury gathered Tuesday evening during a chapter hosted reception at McInnis Restaurant in San Rafael to honor the outgoing 2024-25 jury and to welcome the newly empaneled 2025-26 grand jury.  The event featured music by the County Crows </w:t>
      </w:r>
      <w:proofErr w:type="gramStart"/>
      <w:r w:rsidRPr="00E24C90">
        <w:rPr>
          <w:rFonts w:ascii="Arial" w:eastAsia="Times New Roman" w:hAnsi="Arial" w:cs="Arial"/>
          <w:color w:val="222222"/>
          <w:kern w:val="0"/>
          <w14:ligatures w14:val="none"/>
        </w:rPr>
        <w:t>and also</w:t>
      </w:r>
      <w:proofErr w:type="gramEnd"/>
      <w:r w:rsidRPr="00E24C90">
        <w:rPr>
          <w:rFonts w:ascii="Arial" w:eastAsia="Times New Roman" w:hAnsi="Arial" w:cs="Arial"/>
          <w:color w:val="222222"/>
          <w:kern w:val="0"/>
          <w14:ligatures w14:val="none"/>
        </w:rPr>
        <w:t xml:space="preserve"> recognized the support of the Marin Superior Court Judge Mark Talamantes, Deputy County Counsel Renee Giacomini Brewer, and Heather Callan who assists the jury in the County Counsel's office. </w:t>
      </w:r>
    </w:p>
    <w:p w14:paraId="70E1382A"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0B3488DD"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b/>
          <w:bCs/>
          <w:color w:val="222222"/>
          <w:kern w:val="0"/>
          <w:sz w:val="27"/>
          <w:szCs w:val="27"/>
          <w14:ligatures w14:val="none"/>
        </w:rPr>
        <w:t>MCCGJA Elects New Chapter Officers</w:t>
      </w:r>
    </w:p>
    <w:p w14:paraId="79734572"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color w:val="222222"/>
          <w:kern w:val="0"/>
          <w14:ligatures w14:val="none"/>
        </w:rPr>
        <w:t>MCCGJA members elected new chapter officers, including President Spencer Sias (2019-22), Vice President Pat Shepherd (2021-23), Secretary Tom Gannon (2021-23), and Treasurer Scott Smith (2021-22). Other board members who will serve during the 2025-26 fiscal year include Massey Bambara (2024-25, 2025-26 foreperson), Trish Barrett (2023-25), Dave Bonfilio (2019-20), Janeko Bower (2017-2018), Mona Burglin (2021-22), Deborah Haase (2019-2022), Kevin Hagerty (2014-15), Bob Mayer (2023-25), Ed Schuller (2023-24, 2025-26 alternate), and Brad Sharp (2021-22).  </w:t>
      </w:r>
    </w:p>
    <w:p w14:paraId="563C2B56"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5D5764EC"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b/>
          <w:bCs/>
          <w:color w:val="222222"/>
          <w:kern w:val="0"/>
          <w:sz w:val="27"/>
          <w:szCs w:val="27"/>
          <w14:ligatures w14:val="none"/>
        </w:rPr>
        <w:t xml:space="preserve">2024-25 Jury Ends Year </w:t>
      </w:r>
      <w:proofErr w:type="gramStart"/>
      <w:r w:rsidRPr="00E24C90">
        <w:rPr>
          <w:rFonts w:ascii="Arial" w:eastAsia="Times New Roman" w:hAnsi="Arial" w:cs="Arial"/>
          <w:b/>
          <w:bCs/>
          <w:color w:val="222222"/>
          <w:kern w:val="0"/>
          <w:sz w:val="27"/>
          <w:szCs w:val="27"/>
          <w14:ligatures w14:val="none"/>
        </w:rPr>
        <w:t>With</w:t>
      </w:r>
      <w:proofErr w:type="gramEnd"/>
      <w:r w:rsidRPr="00E24C90">
        <w:rPr>
          <w:rFonts w:ascii="Arial" w:eastAsia="Times New Roman" w:hAnsi="Arial" w:cs="Arial"/>
          <w:b/>
          <w:bCs/>
          <w:color w:val="222222"/>
          <w:kern w:val="0"/>
          <w:sz w:val="27"/>
          <w:szCs w:val="27"/>
          <w14:ligatures w14:val="none"/>
        </w:rPr>
        <w:t xml:space="preserve"> Three New Reports</w:t>
      </w:r>
    </w:p>
    <w:p w14:paraId="7CC79409"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color w:val="222222"/>
          <w:kern w:val="0"/>
          <w14:ligatures w14:val="none"/>
        </w:rPr>
        <w:t>Marin's 2024-25 Civil Grand Jury ended its term with the release of three new reports on the economic barriers to building new housing in Marin, lax public oversight of Marin's 62 special districts, and a follow-up report on cyber security in Marin's local governments. </w:t>
      </w:r>
    </w:p>
    <w:p w14:paraId="4F4E6803"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color w:val="222222"/>
          <w:kern w:val="0"/>
          <w14:ligatures w14:val="none"/>
        </w:rPr>
        <w:lastRenderedPageBreak/>
        <w:t>"</w:t>
      </w:r>
      <w:r w:rsidRPr="00E24C90">
        <w:rPr>
          <w:rFonts w:ascii="Arial" w:eastAsia="Times New Roman" w:hAnsi="Arial" w:cs="Arial"/>
          <w:i/>
          <w:iCs/>
          <w:color w:val="222222"/>
          <w:kern w:val="0"/>
          <w14:ligatures w14:val="none"/>
        </w:rPr>
        <w:t>The Worrisome Future of Marin Housing; NIMBY Resistance Takes a Back Seat to Economic Reality</w:t>
      </w:r>
      <w:r w:rsidRPr="00E24C90">
        <w:rPr>
          <w:rFonts w:ascii="Arial" w:eastAsia="Times New Roman" w:hAnsi="Arial" w:cs="Arial"/>
          <w:color w:val="222222"/>
          <w:kern w:val="0"/>
          <w14:ligatures w14:val="none"/>
        </w:rPr>
        <w:t>" recommended that the Board of Supervisors and the city councils of Marin's 11 municipalities market their building opportunities, report progress toward housing goals on a quarterly basis, implement ministerial approval for accessory dwelling units and multi-family dwellings, and step up public communications regarding constraints to housing development. The full report can be accessed at </w:t>
      </w:r>
      <w:hyperlink r:id="rId6" w:tgtFrame="_blank" w:history="1">
        <w:r w:rsidRPr="00E24C90">
          <w:rPr>
            <w:rFonts w:ascii="Arial" w:eastAsia="Times New Roman" w:hAnsi="Arial" w:cs="Arial"/>
            <w:color w:val="1155CC"/>
            <w:kern w:val="0"/>
            <w:u w:val="single"/>
            <w14:ligatures w14:val="none"/>
          </w:rPr>
          <w:t>https://assets.marincounty.gov/marincounty-prod/public/2025-06/The%20Worrisome%20Future%20of%20Marin%20Housing.pdf</w:t>
        </w:r>
      </w:hyperlink>
    </w:p>
    <w:p w14:paraId="0DF91442"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278AE14C"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color w:val="222222"/>
          <w:kern w:val="0"/>
          <w14:ligatures w14:val="none"/>
        </w:rPr>
        <w:t>In its report, "</w:t>
      </w:r>
      <w:r w:rsidRPr="00E24C90">
        <w:rPr>
          <w:rFonts w:ascii="Arial" w:eastAsia="Times New Roman" w:hAnsi="Arial" w:cs="Arial"/>
          <w:i/>
          <w:iCs/>
          <w:color w:val="222222"/>
          <w:kern w:val="0"/>
          <w14:ligatures w14:val="none"/>
        </w:rPr>
        <w:t xml:space="preserve">Who's Minding </w:t>
      </w:r>
      <w:proofErr w:type="gramStart"/>
      <w:r w:rsidRPr="00E24C90">
        <w:rPr>
          <w:rFonts w:ascii="Arial" w:eastAsia="Times New Roman" w:hAnsi="Arial" w:cs="Arial"/>
          <w:i/>
          <w:iCs/>
          <w:color w:val="222222"/>
          <w:kern w:val="0"/>
          <w14:ligatures w14:val="none"/>
        </w:rPr>
        <w:t>The</w:t>
      </w:r>
      <w:proofErr w:type="gramEnd"/>
      <w:r w:rsidRPr="00E24C90">
        <w:rPr>
          <w:rFonts w:ascii="Arial" w:eastAsia="Times New Roman" w:hAnsi="Arial" w:cs="Arial"/>
          <w:i/>
          <w:iCs/>
          <w:color w:val="222222"/>
          <w:kern w:val="0"/>
          <w14:ligatures w14:val="none"/>
        </w:rPr>
        <w:t xml:space="preserve"> Store?" </w:t>
      </w:r>
      <w:r w:rsidRPr="00E24C90">
        <w:rPr>
          <w:rFonts w:ascii="Arial" w:eastAsia="Times New Roman" w:hAnsi="Arial" w:cs="Arial"/>
          <w:color w:val="222222"/>
          <w:kern w:val="0"/>
          <w14:ligatures w14:val="none"/>
        </w:rPr>
        <w:t>regarding lax oversight in special districts</w:t>
      </w:r>
      <w:r w:rsidRPr="00E24C90">
        <w:rPr>
          <w:rFonts w:ascii="Arial" w:eastAsia="Times New Roman" w:hAnsi="Arial" w:cs="Arial"/>
          <w:i/>
          <w:iCs/>
          <w:color w:val="222222"/>
          <w:kern w:val="0"/>
          <w14:ligatures w14:val="none"/>
        </w:rPr>
        <w:t>,</w:t>
      </w:r>
      <w:r w:rsidRPr="00E24C90">
        <w:rPr>
          <w:rFonts w:ascii="Arial" w:eastAsia="Times New Roman" w:hAnsi="Arial" w:cs="Arial"/>
          <w:color w:val="222222"/>
          <w:kern w:val="0"/>
          <w14:ligatures w14:val="none"/>
        </w:rPr>
        <w:t xml:space="preserve"> the 2024-25 jury recommends that </w:t>
      </w:r>
      <w:proofErr w:type="spellStart"/>
      <w:r w:rsidRPr="00E24C90">
        <w:rPr>
          <w:rFonts w:ascii="Arial" w:eastAsia="Times New Roman" w:hAnsi="Arial" w:cs="Arial"/>
          <w:color w:val="222222"/>
          <w:kern w:val="0"/>
          <w14:ligatures w14:val="none"/>
        </w:rPr>
        <w:t>deliquent</w:t>
      </w:r>
      <w:proofErr w:type="spellEnd"/>
      <w:r w:rsidRPr="00E24C90">
        <w:rPr>
          <w:rFonts w:ascii="Arial" w:eastAsia="Times New Roman" w:hAnsi="Arial" w:cs="Arial"/>
          <w:color w:val="222222"/>
          <w:kern w:val="0"/>
          <w14:ligatures w14:val="none"/>
        </w:rPr>
        <w:t xml:space="preserve"> audits be completed by the Marin City Community Service District, Alto Sewer District, and the Firehouse Community Park Agency. The jury called the board of supervisors to direct the county finance department to initiate third party audits when required audits are delinquent by more than a year. It recommended that the county clerk expand its Registry of Public Agencies with current website addresses and contact information for all agencies and their governing boards. The report also focuses on the Marin Local Agency Formation Commission (LAFCo) with recommendations that LAFCo maintain a current list of special districts it is charged with overseeing.  The jury also recommended that LAFCo complete municipal service reviews of municipalities and independent special districts every five years. The full report can be read at: </w:t>
      </w:r>
      <w:hyperlink r:id="rId7" w:tgtFrame="_blank" w:history="1">
        <w:r w:rsidRPr="00E24C90">
          <w:rPr>
            <w:rFonts w:ascii="Arial" w:eastAsia="Times New Roman" w:hAnsi="Arial" w:cs="Arial"/>
            <w:color w:val="1155CC"/>
            <w:kern w:val="0"/>
            <w:u w:val="single"/>
            <w14:ligatures w14:val="none"/>
          </w:rPr>
          <w:t>https://assets.marincounty.gov/marincounty-prod/public/2025-06/Who%27s%20Minding%20the%20Store_0.pdf</w:t>
        </w:r>
      </w:hyperlink>
    </w:p>
    <w:p w14:paraId="15F1F8BA"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7EDFC26C"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i/>
          <w:iCs/>
          <w:color w:val="222222"/>
          <w:kern w:val="0"/>
          <w14:ligatures w14:val="none"/>
        </w:rPr>
        <w:t>"One Hand to Shake Follow-up to the 2023-2024 Grand Jury Report 'Cyber Preparedness: Are We There Yet?'" </w:t>
      </w:r>
      <w:r w:rsidRPr="00E24C90">
        <w:rPr>
          <w:rFonts w:ascii="Arial" w:eastAsia="Times New Roman" w:hAnsi="Arial" w:cs="Arial"/>
          <w:color w:val="222222"/>
          <w:kern w:val="0"/>
          <w14:ligatures w14:val="none"/>
        </w:rPr>
        <w:t>recommends that the Marin Board of Supervisors adopt a policy making the county's chief information officer accountable for cybersecurity in dependent special districts governed by members of the board of supervisors. The jury specifically recommends that the Marin County Department of Information and Systems Technology to be responsible for the Marin Transit and Marin Housing Authority’s information and security. The report calls on the Board of Supervisors to complete transitioning all County .org website domains to .gov and to promote cybersecurity more aggressively among Marin's local governments. This report is available at: </w:t>
      </w:r>
      <w:hyperlink r:id="rId8" w:tgtFrame="_blank" w:history="1">
        <w:r w:rsidRPr="00E24C90">
          <w:rPr>
            <w:rFonts w:ascii="Arial" w:eastAsia="Times New Roman" w:hAnsi="Arial" w:cs="Arial"/>
            <w:color w:val="1155CC"/>
            <w:kern w:val="0"/>
            <w:u w:val="single"/>
            <w14:ligatures w14:val="none"/>
          </w:rPr>
          <w:t>https://assets.marincounty.gov/marincounty-prod/public/2025-06/One%20Hand%20to%20Shake.pdf</w:t>
        </w:r>
      </w:hyperlink>
    </w:p>
    <w:p w14:paraId="693294AE"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547EC32F" w14:textId="75653A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color w:val="222222"/>
          <w:kern w:val="0"/>
          <w14:ligatures w14:val="none"/>
        </w:rPr>
        <w:t xml:space="preserve">In all, the 2024-25 Marin Civil Grand Jury released eight reports, beginning on January 31, </w:t>
      </w:r>
      <w:proofErr w:type="gramStart"/>
      <w:r w:rsidRPr="00E24C90">
        <w:rPr>
          <w:rFonts w:ascii="Arial" w:eastAsia="Times New Roman" w:hAnsi="Arial" w:cs="Arial"/>
          <w:color w:val="222222"/>
          <w:kern w:val="0"/>
          <w14:ligatures w14:val="none"/>
        </w:rPr>
        <w:t>2025</w:t>
      </w:r>
      <w:proofErr w:type="gramEnd"/>
      <w:r w:rsidRPr="00E24C90">
        <w:rPr>
          <w:rFonts w:ascii="Arial" w:eastAsia="Times New Roman" w:hAnsi="Arial" w:cs="Arial"/>
          <w:color w:val="222222"/>
          <w:kern w:val="0"/>
          <w14:ligatures w14:val="none"/>
        </w:rPr>
        <w:t xml:space="preserve"> with a report on government responses to reports released by the 2023-24 civil grand jury.  The jury reports and responses are available at: </w:t>
      </w:r>
      <w:hyperlink r:id="rId9" w:tgtFrame="_blank" w:history="1">
        <w:r w:rsidRPr="00E24C90">
          <w:rPr>
            <w:rFonts w:ascii="Arial" w:eastAsia="Times New Roman" w:hAnsi="Arial" w:cs="Arial"/>
            <w:color w:val="1155CC"/>
            <w:kern w:val="0"/>
            <w:u w:val="single"/>
            <w14:ligatures w14:val="none"/>
          </w:rPr>
          <w:t>https://www.marincounty.gov/departments/grand-jury/civil-grand-jury-reports/2024-2025-civil-grand-jury-reports</w:t>
        </w:r>
      </w:hyperlink>
    </w:p>
    <w:p w14:paraId="1E12B21A"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4E47429F"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b/>
          <w:bCs/>
          <w:color w:val="222222"/>
          <w:kern w:val="0"/>
          <w:sz w:val="27"/>
          <w:szCs w:val="27"/>
          <w14:ligatures w14:val="none"/>
        </w:rPr>
        <w:t>Chapter Volunteers Needed for Jury Recruitment, Training, Selection, and Continuity Projects</w:t>
      </w:r>
    </w:p>
    <w:p w14:paraId="1ED3A9ED"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Arial" w:eastAsia="Times New Roman" w:hAnsi="Arial" w:cs="Arial"/>
          <w:color w:val="222222"/>
          <w:kern w:val="0"/>
          <w14:ligatures w14:val="none"/>
        </w:rPr>
        <w:t>MCCGJA is embarking on a new year with</w:t>
      </w:r>
      <w:r w:rsidRPr="00E24C90">
        <w:rPr>
          <w:rFonts w:ascii="Arial" w:eastAsia="Times New Roman" w:hAnsi="Arial" w:cs="Arial"/>
          <w:b/>
          <w:bCs/>
          <w:color w:val="222222"/>
          <w:kern w:val="0"/>
          <w14:ligatures w14:val="none"/>
        </w:rPr>
        <w:t> </w:t>
      </w:r>
      <w:r w:rsidRPr="00E24C90">
        <w:rPr>
          <w:rFonts w:ascii="Arial" w:eastAsia="Times New Roman" w:hAnsi="Arial" w:cs="Arial"/>
          <w:color w:val="222222"/>
          <w:kern w:val="0"/>
          <w14:ligatures w14:val="none"/>
        </w:rPr>
        <w:t>a call for volunteers to support the chapter's recruitment, selection and training programs. Volunteers are needed to help staff a MCCGJA recruitment booth at the Marin Senior Fair on Sept. 19.  Please contact </w:t>
      </w:r>
      <w:hyperlink r:id="rId10" w:tgtFrame="_blank" w:history="1">
        <w:r w:rsidRPr="00E24C90">
          <w:rPr>
            <w:rFonts w:ascii="Arial" w:eastAsia="Times New Roman" w:hAnsi="Arial" w:cs="Arial"/>
            <w:color w:val="1155CC"/>
            <w:kern w:val="0"/>
            <w:u w:val="single"/>
            <w14:ligatures w14:val="none"/>
          </w:rPr>
          <w:t>Volunteer@MCCGJA.org</w:t>
        </w:r>
      </w:hyperlink>
      <w:r w:rsidRPr="00E24C90">
        <w:rPr>
          <w:rFonts w:ascii="Arial" w:eastAsia="Times New Roman" w:hAnsi="Arial" w:cs="Arial"/>
          <w:color w:val="222222"/>
          <w:kern w:val="0"/>
          <w14:ligatures w14:val="none"/>
        </w:rPr>
        <w:t> and tell us how you would like to help the chapter. </w:t>
      </w:r>
    </w:p>
    <w:p w14:paraId="392AAC9C" w14:textId="77777777" w:rsidR="00E24C90" w:rsidRPr="00E24C90" w:rsidRDefault="00E24C90" w:rsidP="00E24C90">
      <w:pPr>
        <w:shd w:val="clear" w:color="auto" w:fill="FFFFFF"/>
        <w:spacing w:after="0" w:line="240" w:lineRule="auto"/>
        <w:ind w:left="270"/>
        <w:rPr>
          <w:rFonts w:ascii="Arial" w:eastAsia="Times New Roman" w:hAnsi="Arial" w:cs="Arial"/>
          <w:color w:val="222222"/>
          <w:kern w:val="0"/>
          <w14:ligatures w14:val="none"/>
        </w:rPr>
      </w:pPr>
    </w:p>
    <w:p w14:paraId="352CA966"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Times New Roman" w:eastAsia="Times New Roman" w:hAnsi="Times New Roman" w:cs="Times New Roman"/>
          <w:b/>
          <w:bCs/>
          <w:color w:val="222222"/>
          <w:kern w:val="0"/>
          <w14:ligatures w14:val="none"/>
        </w:rPr>
        <w:t> #  #  #</w:t>
      </w:r>
    </w:p>
    <w:p w14:paraId="0D6B87E6"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p>
    <w:p w14:paraId="71492DDC" w14:textId="77777777" w:rsidR="00E24C90" w:rsidRPr="00E24C90" w:rsidRDefault="00E24C90" w:rsidP="00E24C90">
      <w:pPr>
        <w:shd w:val="clear" w:color="auto" w:fill="FFFFFF"/>
        <w:spacing w:after="0" w:line="240" w:lineRule="auto"/>
        <w:rPr>
          <w:rFonts w:ascii="Arial" w:eastAsia="Times New Roman" w:hAnsi="Arial" w:cs="Arial"/>
          <w:color w:val="222222"/>
          <w:kern w:val="0"/>
          <w14:ligatures w14:val="none"/>
        </w:rPr>
      </w:pPr>
      <w:r w:rsidRPr="00E24C90">
        <w:rPr>
          <w:rFonts w:ascii="Times New Roman" w:eastAsia="Times New Roman" w:hAnsi="Times New Roman" w:cs="Times New Roman"/>
          <w:i/>
          <w:iCs/>
          <w:color w:val="222222"/>
          <w:kern w:val="0"/>
          <w14:ligatures w14:val="none"/>
        </w:rPr>
        <w:lastRenderedPageBreak/>
        <w:t>MCCGJA News Bulletin is published for current and former members of the Marin Civil Grand Jury to inform about current jury and chapter activities and events. Questions and story suggestions can be sent to </w:t>
      </w:r>
      <w:hyperlink r:id="rId11" w:tgtFrame="_blank" w:history="1">
        <w:r w:rsidRPr="00E24C90">
          <w:rPr>
            <w:rFonts w:ascii="Times New Roman" w:eastAsia="Times New Roman" w:hAnsi="Times New Roman" w:cs="Times New Roman"/>
            <w:i/>
            <w:iCs/>
            <w:color w:val="1155CC"/>
            <w:kern w:val="0"/>
            <w:u w:val="single"/>
            <w14:ligatures w14:val="none"/>
          </w:rPr>
          <w:t>Editor@MCCGJA.org</w:t>
        </w:r>
      </w:hyperlink>
      <w:r w:rsidRPr="00E24C90">
        <w:rPr>
          <w:rFonts w:ascii="Times New Roman" w:eastAsia="Times New Roman" w:hAnsi="Times New Roman" w:cs="Times New Roman"/>
          <w:i/>
          <w:iCs/>
          <w:color w:val="222222"/>
          <w:kern w:val="0"/>
          <w14:ligatures w14:val="none"/>
        </w:rPr>
        <w:t>.</w:t>
      </w:r>
    </w:p>
    <w:p w14:paraId="53F37423" w14:textId="77777777" w:rsidR="00E24C90" w:rsidRDefault="00E24C90"/>
    <w:sectPr w:rsidR="00E24C90" w:rsidSect="00E24C90">
      <w:pgSz w:w="12240" w:h="15840"/>
      <w:pgMar w:top="900" w:right="1440" w:bottom="74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C90"/>
    <w:rsid w:val="00E24C90"/>
    <w:rsid w:val="00FF7F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41D243"/>
  <w15:chartTrackingRefBased/>
  <w15:docId w15:val="{13D964D5-6DB7-C24F-BEE2-BB98D0BDB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4C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4C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4C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4C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4C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4C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4C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4C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4C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4C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4C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4C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4C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4C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4C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4C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4C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4C90"/>
    <w:rPr>
      <w:rFonts w:eastAsiaTheme="majorEastAsia" w:cstheme="majorBidi"/>
      <w:color w:val="272727" w:themeColor="text1" w:themeTint="D8"/>
    </w:rPr>
  </w:style>
  <w:style w:type="paragraph" w:styleId="Title">
    <w:name w:val="Title"/>
    <w:basedOn w:val="Normal"/>
    <w:next w:val="Normal"/>
    <w:link w:val="TitleChar"/>
    <w:uiPriority w:val="10"/>
    <w:qFormat/>
    <w:rsid w:val="00E24C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4C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4C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4C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4C90"/>
    <w:pPr>
      <w:spacing w:before="160"/>
      <w:jc w:val="center"/>
    </w:pPr>
    <w:rPr>
      <w:i/>
      <w:iCs/>
      <w:color w:val="404040" w:themeColor="text1" w:themeTint="BF"/>
    </w:rPr>
  </w:style>
  <w:style w:type="character" w:customStyle="1" w:styleId="QuoteChar">
    <w:name w:val="Quote Char"/>
    <w:basedOn w:val="DefaultParagraphFont"/>
    <w:link w:val="Quote"/>
    <w:uiPriority w:val="29"/>
    <w:rsid w:val="00E24C90"/>
    <w:rPr>
      <w:i/>
      <w:iCs/>
      <w:color w:val="404040" w:themeColor="text1" w:themeTint="BF"/>
    </w:rPr>
  </w:style>
  <w:style w:type="paragraph" w:styleId="ListParagraph">
    <w:name w:val="List Paragraph"/>
    <w:basedOn w:val="Normal"/>
    <w:uiPriority w:val="34"/>
    <w:qFormat/>
    <w:rsid w:val="00E24C90"/>
    <w:pPr>
      <w:ind w:left="720"/>
      <w:contextualSpacing/>
    </w:pPr>
  </w:style>
  <w:style w:type="character" w:styleId="IntenseEmphasis">
    <w:name w:val="Intense Emphasis"/>
    <w:basedOn w:val="DefaultParagraphFont"/>
    <w:uiPriority w:val="21"/>
    <w:qFormat/>
    <w:rsid w:val="00E24C90"/>
    <w:rPr>
      <w:i/>
      <w:iCs/>
      <w:color w:val="0F4761" w:themeColor="accent1" w:themeShade="BF"/>
    </w:rPr>
  </w:style>
  <w:style w:type="paragraph" w:styleId="IntenseQuote">
    <w:name w:val="Intense Quote"/>
    <w:basedOn w:val="Normal"/>
    <w:next w:val="Normal"/>
    <w:link w:val="IntenseQuoteChar"/>
    <w:uiPriority w:val="30"/>
    <w:qFormat/>
    <w:rsid w:val="00E24C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4C90"/>
    <w:rPr>
      <w:i/>
      <w:iCs/>
      <w:color w:val="0F4761" w:themeColor="accent1" w:themeShade="BF"/>
    </w:rPr>
  </w:style>
  <w:style w:type="character" w:styleId="IntenseReference">
    <w:name w:val="Intense Reference"/>
    <w:basedOn w:val="DefaultParagraphFont"/>
    <w:uiPriority w:val="32"/>
    <w:qFormat/>
    <w:rsid w:val="00E24C90"/>
    <w:rPr>
      <w:b/>
      <w:bCs/>
      <w:smallCaps/>
      <w:color w:val="0F4761" w:themeColor="accent1" w:themeShade="BF"/>
      <w:spacing w:val="5"/>
    </w:rPr>
  </w:style>
  <w:style w:type="character" w:styleId="Hyperlink">
    <w:name w:val="Hyperlink"/>
    <w:basedOn w:val="DefaultParagraphFont"/>
    <w:uiPriority w:val="99"/>
    <w:semiHidden/>
    <w:unhideWhenUsed/>
    <w:rsid w:val="00E24C9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2613785">
      <w:bodyDiv w:val="1"/>
      <w:marLeft w:val="0"/>
      <w:marRight w:val="0"/>
      <w:marTop w:val="0"/>
      <w:marBottom w:val="0"/>
      <w:divBdr>
        <w:top w:val="none" w:sz="0" w:space="0" w:color="auto"/>
        <w:left w:val="none" w:sz="0" w:space="0" w:color="auto"/>
        <w:bottom w:val="none" w:sz="0" w:space="0" w:color="auto"/>
        <w:right w:val="none" w:sz="0" w:space="0" w:color="auto"/>
      </w:divBdr>
      <w:divsChild>
        <w:div w:id="1290281139">
          <w:marLeft w:val="0"/>
          <w:marRight w:val="0"/>
          <w:marTop w:val="0"/>
          <w:marBottom w:val="0"/>
          <w:divBdr>
            <w:top w:val="none" w:sz="0" w:space="0" w:color="auto"/>
            <w:left w:val="none" w:sz="0" w:space="0" w:color="auto"/>
            <w:bottom w:val="none" w:sz="0" w:space="0" w:color="auto"/>
            <w:right w:val="none" w:sz="0" w:space="0" w:color="auto"/>
          </w:divBdr>
          <w:divsChild>
            <w:div w:id="665865000">
              <w:marLeft w:val="0"/>
              <w:marRight w:val="0"/>
              <w:marTop w:val="0"/>
              <w:marBottom w:val="0"/>
              <w:divBdr>
                <w:top w:val="none" w:sz="0" w:space="0" w:color="auto"/>
                <w:left w:val="none" w:sz="0" w:space="0" w:color="auto"/>
                <w:bottom w:val="none" w:sz="0" w:space="0" w:color="auto"/>
                <w:right w:val="none" w:sz="0" w:space="0" w:color="auto"/>
              </w:divBdr>
            </w:div>
            <w:div w:id="1251431293">
              <w:marLeft w:val="0"/>
              <w:marRight w:val="0"/>
              <w:marTop w:val="0"/>
              <w:marBottom w:val="0"/>
              <w:divBdr>
                <w:top w:val="none" w:sz="0" w:space="0" w:color="auto"/>
                <w:left w:val="none" w:sz="0" w:space="0" w:color="auto"/>
                <w:bottom w:val="none" w:sz="0" w:space="0" w:color="auto"/>
                <w:right w:val="none" w:sz="0" w:space="0" w:color="auto"/>
              </w:divBdr>
            </w:div>
            <w:div w:id="1062675447">
              <w:marLeft w:val="0"/>
              <w:marRight w:val="0"/>
              <w:marTop w:val="0"/>
              <w:marBottom w:val="0"/>
              <w:divBdr>
                <w:top w:val="none" w:sz="0" w:space="0" w:color="auto"/>
                <w:left w:val="none" w:sz="0" w:space="0" w:color="auto"/>
                <w:bottom w:val="none" w:sz="0" w:space="0" w:color="auto"/>
                <w:right w:val="none" w:sz="0" w:space="0" w:color="auto"/>
              </w:divBdr>
              <w:divsChild>
                <w:div w:id="177737615">
                  <w:marLeft w:val="0"/>
                  <w:marRight w:val="0"/>
                  <w:marTop w:val="0"/>
                  <w:marBottom w:val="0"/>
                  <w:divBdr>
                    <w:top w:val="none" w:sz="0" w:space="0" w:color="auto"/>
                    <w:left w:val="none" w:sz="0" w:space="0" w:color="auto"/>
                    <w:bottom w:val="none" w:sz="0" w:space="0" w:color="auto"/>
                    <w:right w:val="none" w:sz="0" w:space="0" w:color="auto"/>
                  </w:divBdr>
                </w:div>
                <w:div w:id="1876772638">
                  <w:marLeft w:val="0"/>
                  <w:marRight w:val="0"/>
                  <w:marTop w:val="0"/>
                  <w:marBottom w:val="0"/>
                  <w:divBdr>
                    <w:top w:val="none" w:sz="0" w:space="0" w:color="auto"/>
                    <w:left w:val="none" w:sz="0" w:space="0" w:color="auto"/>
                    <w:bottom w:val="none" w:sz="0" w:space="0" w:color="auto"/>
                    <w:right w:val="none" w:sz="0" w:space="0" w:color="auto"/>
                  </w:divBdr>
                </w:div>
                <w:div w:id="1539588799">
                  <w:marLeft w:val="0"/>
                  <w:marRight w:val="0"/>
                  <w:marTop w:val="0"/>
                  <w:marBottom w:val="0"/>
                  <w:divBdr>
                    <w:top w:val="none" w:sz="0" w:space="0" w:color="auto"/>
                    <w:left w:val="none" w:sz="0" w:space="0" w:color="auto"/>
                    <w:bottom w:val="none" w:sz="0" w:space="0" w:color="auto"/>
                    <w:right w:val="none" w:sz="0" w:space="0" w:color="auto"/>
                  </w:divBdr>
                </w:div>
                <w:div w:id="985008103">
                  <w:marLeft w:val="0"/>
                  <w:marRight w:val="0"/>
                  <w:marTop w:val="0"/>
                  <w:marBottom w:val="0"/>
                  <w:divBdr>
                    <w:top w:val="none" w:sz="0" w:space="0" w:color="auto"/>
                    <w:left w:val="none" w:sz="0" w:space="0" w:color="auto"/>
                    <w:bottom w:val="none" w:sz="0" w:space="0" w:color="auto"/>
                    <w:right w:val="none" w:sz="0" w:space="0" w:color="auto"/>
                  </w:divBdr>
                  <w:divsChild>
                    <w:div w:id="1134787921">
                      <w:marLeft w:val="0"/>
                      <w:marRight w:val="0"/>
                      <w:marTop w:val="0"/>
                      <w:marBottom w:val="0"/>
                      <w:divBdr>
                        <w:top w:val="none" w:sz="0" w:space="0" w:color="auto"/>
                        <w:left w:val="none" w:sz="0" w:space="0" w:color="auto"/>
                        <w:bottom w:val="none" w:sz="0" w:space="0" w:color="auto"/>
                        <w:right w:val="none" w:sz="0" w:space="0" w:color="auto"/>
                      </w:divBdr>
                      <w:divsChild>
                        <w:div w:id="6167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sets.marincounty.gov/marincounty-prod/public/2025-06/One%20Hand%20to%20Shake.pdf"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assets.marincounty.gov/marincounty-prod/public/2025-06/Who%27s%20Minding%20the%20Store_0.pdf"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ssets.marincounty.gov/marincounty-prod/public/2025-06/The%20Worrisome%20Future%20of%20Marin%20Housing.pdf" TargetMode="External"/><Relationship Id="rId11" Type="http://schemas.openxmlformats.org/officeDocument/2006/relationships/hyperlink" Target="mailto:Editor@MCCGJA.org" TargetMode="External"/><Relationship Id="rId5" Type="http://schemas.openxmlformats.org/officeDocument/2006/relationships/image" Target="media/image2.png"/><Relationship Id="rId10" Type="http://schemas.openxmlformats.org/officeDocument/2006/relationships/hyperlink" Target="mailto:Volunteer@MCCGJA.org" TargetMode="External"/><Relationship Id="rId4" Type="http://schemas.openxmlformats.org/officeDocument/2006/relationships/image" Target="media/image1.png"/><Relationship Id="rId9" Type="http://schemas.openxmlformats.org/officeDocument/2006/relationships/hyperlink" Target="https://www.marincounty.gov/departments/grand-jury/civil-grand-jury-reports/2024-2025-civil-grand-jury-repor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841</Words>
  <Characters>4795</Characters>
  <Application>Microsoft Office Word</Application>
  <DocSecurity>0</DocSecurity>
  <Lines>39</Lines>
  <Paragraphs>11</Paragraphs>
  <ScaleCrop>false</ScaleCrop>
  <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janekobower@icloud.com</dc:creator>
  <cp:keywords/>
  <dc:description/>
  <cp:lastModifiedBy>janekobower@icloud.com</cp:lastModifiedBy>
  <cp:revision>1</cp:revision>
  <dcterms:created xsi:type="dcterms:W3CDTF">2025-07-16T19:45:00Z</dcterms:created>
  <dcterms:modified xsi:type="dcterms:W3CDTF">2025-07-16T19:51:00Z</dcterms:modified>
</cp:coreProperties>
</file>